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ascii="Microsoft YaHei UI" w:hAnsi="Microsoft YaHei UI" w:eastAsia="Microsoft YaHei UI" w:cs="Microsoft YaHei UI"/>
          <w:i w:val="0"/>
          <w:caps w:val="0"/>
          <w:color w:val="666666"/>
          <w:spacing w:val="0"/>
          <w:sz w:val="20"/>
          <w:szCs w:val="20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成都市中西医结合医院</w:t>
      </w:r>
      <w:r>
        <w:rPr>
          <w:rStyle w:val="6"/>
          <w:rFonts w:ascii="仿宋_gb2312" w:hAnsi="仿宋_gb2312" w:eastAsia="仿宋_gb2312" w:cs="仿宋_gb2312"/>
          <w:b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招聘岗位、人数和岗位条件要求</w:t>
      </w:r>
    </w:p>
    <w:bookmarkEnd w:id="0"/>
    <w:tbl>
      <w:tblPr>
        <w:tblW w:w="806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877"/>
        <w:gridCol w:w="56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岗 位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人 数</w:t>
            </w:r>
          </w:p>
        </w:tc>
        <w:tc>
          <w:tcPr>
            <w:tcW w:w="5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666666"/>
                <w:spacing w:val="0"/>
                <w:sz w:val="25"/>
                <w:szCs w:val="25"/>
                <w:bdr w:val="none" w:color="auto" w:sz="0" w:space="0"/>
              </w:rPr>
              <w:t>岗 位 条 件 要 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儿童康复科医师A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2.所学专业为儿科、发育行为儿科、康复医学与理疗学；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3.年龄为45岁以下（1975年1月1日以后出生）；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5.取得副高级及以上专业技术职称；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6.市级及以上学术技术带头人或后备人选。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儿童康复科医师B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338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1.普通高等教育硕士研究生及以上学历，取得学历相应学位；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2.所学专业为儿科学专业；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3.年龄为40岁以下（1980年1月1日以后出生）；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4.具有医师资格证、医师执业证；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5.取得副高级及以上专业技术职称；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50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6.有三级医院从事孤独症诊断工作经历。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361F0"/>
    <w:rsid w:val="7ED36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2020-11-04T01:37:00Z</dcterms:created>
  <dc:creator>ASUS</dc:creator>
  <cp:lastModifiedBy>ASUS</cp:lastModifiedBy>
  <dcterms:modified xsi:type="dcterms:W3CDTF">2020-11-04T01:37:30Z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