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555555"/>
          <w:spacing w:val="0"/>
          <w:sz w:val="20"/>
          <w:szCs w:val="20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sz w:val="40"/>
          <w:szCs w:val="40"/>
          <w:bdr w:val="none" w:color="auto" w:sz="0" w:space="0"/>
          <w:shd w:val="clear" w:fill="FFFFFF"/>
        </w:rPr>
        <w:t>广西壮族自治区江滨医院</w:t>
      </w:r>
      <w:r>
        <w:rPr>
          <w:rStyle w:val="6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sz w:val="20"/>
          <w:szCs w:val="20"/>
          <w:bdr w:val="none" w:color="auto" w:sz="0" w:space="0"/>
          <w:shd w:val="clear" w:fill="FFFFFF"/>
        </w:rPr>
        <w:t>招聘岗位</w:t>
      </w:r>
    </w:p>
    <w:bookmarkEnd w:id="0"/>
    <w:tbl>
      <w:tblPr>
        <w:tblW w:w="8477" w:type="dxa"/>
        <w:tblInd w:w="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2"/>
        <w:gridCol w:w="914"/>
        <w:gridCol w:w="1891"/>
        <w:gridCol w:w="1190"/>
        <w:gridCol w:w="27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color w:val="000000"/>
                <w:sz w:val="20"/>
                <w:szCs w:val="20"/>
                <w:bdr w:val="none" w:color="auto" w:sz="0" w:space="0"/>
              </w:rPr>
              <w:t>医生（27人）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用人科室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临床各科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心血管内一科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心血管内科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心血管内二科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心血管内科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内分泌内一科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内分泌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消化内科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消化内科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神经康复科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神经内科、康复医学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骨与关节康复科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骨科康复、骨科、骨伤专业等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要求有医师资格证、规培证，有科研经验优先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泌尿外科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泌尿外科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外科（创面修复科）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要求有医师资格证、规培证，有工作经验优先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神经外科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神经重症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要求中级及以上职称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重症医学科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重症医学、呼吸内科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儿科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儿科、临床医学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针灸推拿科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推拿室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8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针灸推拿学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要求有医师资格证、规培证，其中1人小儿推拿方向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针灸室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要求中级及以上职称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门诊部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眼科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眼科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要求中级及以上职称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皮肤科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皮肤科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物理治疗科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康复医学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有科研经验者优先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手术麻醉科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麻醉学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病理科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病理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sz w:val="20"/>
                <w:szCs w:val="20"/>
                <w:bdr w:val="none" w:color="auto" w:sz="0" w:space="0"/>
              </w:rPr>
              <w:t>要求有医师资格证、规培证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47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护理人员（22人）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用人科室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临床各科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47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其他卫生技术人员（2人）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用人科室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检验科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分子生物学、医学检验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放射科</w:t>
            </w: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 （放射技师）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放射技术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47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职能部门（1人）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用人科室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sz w:val="20"/>
                <w:szCs w:val="2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预防保健科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公共卫生类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color w:val="00000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67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13" w:afterAutospacing="0" w:line="23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b/>
                <w:color w:val="000000"/>
                <w:sz w:val="20"/>
                <w:szCs w:val="20"/>
                <w:bdr w:val="none" w:color="auto" w:sz="0" w:space="0"/>
              </w:rPr>
              <w:t>52人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B5B76"/>
    <w:rsid w:val="48FB5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2020-11-05T08:28:00Z</dcterms:created>
  <dc:creator>ASUS</dc:creator>
  <cp:lastModifiedBy>ASUS</cp:lastModifiedBy>
  <dcterms:modified xsi:type="dcterms:W3CDTF">2020-11-05T08:28:42Z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